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2019.8.24口腔助理预测题（上午）</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1.龈上菌斑的主要成分是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A.未矿化的细菌和基质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B.细菌和矿化的基质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C.矿化的细菌和未矿化的基质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D.唾液蛋白和专性厌氧菌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E.糖蛋白和链球菌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.男,50岁。半年前右上后牙龋病做了充填治疗后一直食物嵌塞,近一周来出现持续性自发性钝痛并有牙龈出血，最可能的原因是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A.充填时未垫底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B.备洞时产热过多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C.深龋使用刺激性较强的消毒药物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D.充填时接触点恢复不良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E.备洞时意外穿髓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.患者因左下后牙龋洞就诊，银汞充填治疗，治疗后出现咬合痛。临床检查发现左下第一磨牙远中邻面充填体完好，边缘密合，表面有亮点，温度测试无异常。最佳处理方案为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A.磨除高点，调观察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B.去除原充填体，重新充填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C.去除原充填体，安抚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D.脱敏治疗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E.根管治疗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.患者，男，23岁。因左上第二磨牙龋洞，一次性充填后出现冷热痛，无延缓痛，无自发痛。以下哪项不是造成患牙冷热痛的原因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A.充填未垫底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B.牙髓状态判断不正确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C.操作不当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D.充填材料选择不当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E.充填体悬突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.不能引起急性根尖周炎的是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A.牙髓病变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B.创伤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C.根管器械超出根尖孔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D.牙髓温度测验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E.化学性刺激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.患儿,9岁。冠折1/3,露出鲜红牙髓，叩诊（+)，不松动，牙龈无明显异常，X线片未见根折，根尖呈喇叭口状。治疗宜选择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A.间接盖髓术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B.直接盖髓术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C.活髓切断术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D.根管治疗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E.干髓术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.最易发生牙隐裂的牙位是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A.上颌第一磨牙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B.下颌第一磨牙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C.上颌前磨牙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D.下颌前磨牙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E.下颌尖牙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.患者，女，20岁。右上6咬合面深龋，曾有过夜间疼痛，遇冷热疼痛迟缓，检查：龋未穿髓，电测反应迟钝，叩诊（±)，应诊断为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A.可复性牙髓炎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B.慢性闭锁性牙髓炎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C.慢性增生性牙髓炎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D.慢性溃疡性牙髓炎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E.牙髓坏死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.女，19岁。因牙颈部楔状缺损引起可复性牙髓炎来院做间接盖髓已2周，术后已无症状，修复选用的垫底材料应是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A.流动树脂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B.氢氧化钙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C.磷酸锌水门汀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D.玻璃离子水门汀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E.氧化锌丁香油水门汀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.男，34岁。1天来右后牙夜间痛影响睡眠,痛放散到右半侧头面部。检查见右下第一前磨牙面畸形，中央尖折断痕迹，冷测引起剧痛，叩诊（-）。医师诊断为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A.畸形中央尖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B.可复性牙髓炎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C.急性牙髓炎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D.慢性牙髓炎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E.急性根尖周炎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.患者，女，26岁。3年前曾受外伤，未经任何治疗，近1个月来发现唇侧略有膨隆，无明显疼痛。专科检查：牙冠色泽变暗，Ⅰ°松动，叩诊（+);扪诊唇侧乒乓球感，无波动感；牙髓活力测定无反应。首选的诊断是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A.牙槽脓肿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B.角化囊肿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C.根尖周炎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D.根尖周囊肿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E.牙瘤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.慢性根尖囊肿具有以下临床特点，除外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A.叩诊（+++)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B.扪诊略不适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C.无明显松动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D.电活力测验无反应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E.X线透射区界限清楚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.消毒切口的碘酊浓度是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E.2.5%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.关于冠延长术不正确的是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A.翻瓣术结合骨切除术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B.切除部分牙龈和牙槽骨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C.只切牙龈不切除牙槽骨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D.牙根过短不能做冠延长术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E.牙折达到龈下，影响修复者需做冠延长术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.促进菌斑堆积的因素中不包括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A.银汞充填的悬突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B.银汞充填高点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C.全冠颈部不密合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D.外形凸度过大的冠修复体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E.带矫正器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.牙周翻瓣术的适应证包括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A.牙龈增生经局部处理无明显改善者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B.经基础治疗后牙周袋深5 mm,探诊后出血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C.牙松动Ⅱ度以上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D.牙龈长期溢脓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E.牙龈长期出血、疼痛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.关于牙周病的促进因素，下列说法不正确的是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A.会促进或有利于牙菌斑的堆积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B.造成牙周组织的损伤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C.主要指牙齿周围的那些局部影响因素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D.使牙周组织容易受细菌的感染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E.对已存在的牙周病起加重或加速破坏的作用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.乳牙患龋的最好发牙位是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A.上颌乳磨牙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B.下颌乳磨牙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C.上颌乳切牙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D.上颌乳尖牙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E.下颌乳前牙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患者，女，21岁。患再生障碍性贫血1年，现住院治疗，近日左侧颊黏膜显著充血水肿、灼痛，检查见充血表面有较厚假膜，致密而光滑，较易拭去，遗留渗出糜烂面，周围有明显炎症，唾液增多，口臭，区域淋巴结肿大压痛，全身症状较轻微，涂片可见大量球菌，临床应诊断为下列哪种疾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A.疱疹性龈口炎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B.球菌性口炎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C.扁平苔藓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D.白色念珠菌病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E.白斑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val="en-US" w:eastAsia="zh-CN"/>
        </w:rPr>
        <w:t>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20.牙槽骨修整的最佳时间为拔牙后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A.即刻修整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C.6个月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D.3个月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21.金属烤瓷冠的适应证是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A.青少年恒牙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B.冠部短小的磨牙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C.轻度腭向错位的上前牙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D.重度深覆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E.乳牙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22.金属烤瓷冠就位后色泽、形态与各牙协调，颈长达设计要求，颈部探针可探入，邻接处牙线勉强通过，正中时31切端位于21烤瓷区，你认为此冠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A.为合格修复体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B.邻接过紧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C.邻接过松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D.金-瓷结合区设计不当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E.颈部与牙体间隙过大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.男，38岁。制作金属烤瓷冠，在试戴时出现翘动现象的可能原因中不包括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A.石膏代型磨损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B.组织面有铸瘤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C.邻面接触过紧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D.基牙预备轴面聚合度过大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E.修复体未完全就位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.患者，女，20岁。要求修复上颌前牙缝隙，检查上颌侧切牙为过小牙，两中切牙之间有大于1 mm的间隙，最好的治疗方法是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A.行烤瓷冠修复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B.行桩核+烤瓷冠修复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C.行3/4冠修复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D.正畸治疗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E.正畸后再行烤瓷冠修复过小牙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.牙列缺损在哪种情况下应采用堤记录上下颌关系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A.缺牙数目较多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B.对颌牙面严重磨耗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C.前牙缺失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D.个别后牙缺失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E.末端游离缺失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6.RPI卡环邻面板的作用是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A.防止基托下沉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B.减少牙槽嵴受力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C.有利美观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D.增强义齿的固位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E.防止食物嵌塞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.铸造卡环进入倒凹的深度一般不宜超过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A.0.5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B.0.6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C.0.7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D.0.8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E.1.0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.三型卡环（适用于三型观测线）的特点是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A.固位、稳定作用好，支持作用差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B.固位、稳定、支持作用均好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C.固位、稳定、支持作用均差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D.固位、支持作用好，稳定性差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E.稳定、支持作用好，固位差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9.男，43岁。两年前行固定义齿修复，目前牙齿酸痛。查：6 缺失，75 固定桥基牙，7全冠，5为3/4冠，已松动，牙体无龋坏，其原因是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A.桥体过长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B.咬合力过大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C.基牙松动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D.固位力不等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E.边缘不密合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.需要考虑增加固定义齿基牙数目的情况是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A.基牙轻度倾斜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B.基牙牙周膜增宽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C.牙槽骨吸收1/3以上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D.无咬合功能的基牙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E.缺牙间隙处对颌牙齿伸长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.5上较为合理的卡环设计为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A.RPI卡环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B.近中支托，三臂卡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C.回力卡环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D.RPA卡环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E.对半卡环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2.若设计双端固定桥修复6，此时应重点考虑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A.5选用固位力较弱的固位体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B.增选4和5联合做基牙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C.增加桥体的机械强度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D.增加桥体的牙尖高度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E.增加桥体的颊舌径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选择全口义齿人工后牙面形态时，主要应考虑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A.人工牙的质地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B.患者的要求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C.支持组织的条件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D.旧义齿情况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E.价格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4.采用外耳道触诊法验证颌位关系是为了确定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A.髁突是否退回生理后位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B.垂直距离是否正常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C.关节是否有疼痛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D.开口型是否正常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E.关节是否有弹响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.女，63岁。戴全口义齿月余，义齿仅在功能状态下易脱落。旧全口义齿无此现象。可能造成义齿固位的原因是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A.咬合不平衡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B.基托边缘伸展过长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C.后堤区处理不当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D.基托边缘伸展不足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E.基托与黏膜不密合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w:t>
      </w:r>
      <w:r>
        <w:rPr>
          <w:rFonts w:hint="eastAsia" w:asciiTheme="minorEastAsia" w:hAnsiTheme="minorEastAsia" w:eastAsiaTheme="minorEastAsia" w:cstheme="minorEastAsia"/>
          <w:sz w:val="21"/>
          <w:szCs w:val="21"/>
        </w:rPr>
        <w:t>.下颌前伸位记录的目的是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A.确定切道斜度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B.确定前伸髁道斜度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C.确定侧方髁道斜度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D.确定上下颌间的距离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E.使上下堤均匀地接触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.全口义齿修复时垂直距离是指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A.息止颌间隙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B.面中三分之一高度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C.颌间距离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D.息止颌位鼻底至颏底距离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E.息止颌位鼻底至颏底距离减去2～3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w:t>
      </w:r>
      <w:r>
        <w:rPr>
          <w:rFonts w:hint="eastAsia" w:asciiTheme="minorEastAsia" w:hAnsiTheme="minorEastAsia" w:eastAsiaTheme="minorEastAsia" w:cstheme="minorEastAsia"/>
          <w:sz w:val="21"/>
          <w:szCs w:val="21"/>
        </w:rPr>
        <w:t>.临床一般调整下列哪两项因素来达到前伸平衡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A.切导斜度、补偿曲线曲度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B.髁导斜度、补偿曲线曲度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C.切导斜度、髁导斜度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D.牙尖斜度、定位平面斜度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E.切导斜度、定位平面斜度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w:t>
      </w:r>
      <w:r>
        <w:rPr>
          <w:rFonts w:hint="eastAsia" w:asciiTheme="minorEastAsia" w:hAnsiTheme="minorEastAsia" w:eastAsiaTheme="minorEastAsia" w:cstheme="minorEastAsia"/>
          <w:sz w:val="21"/>
          <w:szCs w:val="21"/>
        </w:rPr>
        <w:t>.术后检查过程中要及时封闭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A.固化情况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B.粘结程度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C.遗漏的窝沟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D.探针检查窝沟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E.定期复查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0.将氟化牛奶用于防龋的理由哪项是错误的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A.牛奶是婴幼儿、孕妇、儿童和老年人普遍饮用的营养食品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B.牛奶是一种氟化物的良好载体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C.牛奶属于非致龋食品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D.牛奶内的氟化物可被大量吸收并持续较长时间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E.牛奶中氟化物吸收速率明显高于氟化饮水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w:t>
      </w:r>
      <w:r>
        <w:rPr>
          <w:rFonts w:hint="eastAsia" w:asciiTheme="minorEastAsia" w:hAnsiTheme="minorEastAsia" w:eastAsiaTheme="minorEastAsia" w:cstheme="minorEastAsia"/>
          <w:sz w:val="21"/>
          <w:szCs w:val="21"/>
        </w:rPr>
        <w:t>.出生后，第一次需做口腔检查的时间是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A.3个月，乳牙未萌出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B.第一颗乳牙萌出后6个月内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C.1岁，下中、侧切牙萌出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D.2岁，多数乳牙已萌出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E.2岁半，乳牙全部萌出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2.饮水加氟防龋效果乳牙比恒牙低是因为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A.氟不容易与乳牙牙釉质结合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B.恒牙矿化时孕妇摄氟不足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C.氟不能完全通过胎盘屏障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D.恒牙矿化程度高于乳牙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E.乳牙矿化时间早于恒牙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w:t>
      </w:r>
      <w:r>
        <w:rPr>
          <w:rFonts w:hint="eastAsia" w:asciiTheme="minorEastAsia" w:hAnsiTheme="minorEastAsia" w:eastAsiaTheme="minorEastAsia" w:cstheme="minorEastAsia"/>
          <w:sz w:val="21"/>
          <w:szCs w:val="21"/>
        </w:rPr>
        <w:t>.一个地区的氟牙症指数在哪个范围内属于正常范围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A.0～0.4</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B.0～0.6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C.0～0.8</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D.0～1.0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E.0～1.2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.进行窝沟封闭时为达到理想的粘结效果，乳牙酸蚀时间是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A.10 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B.30 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C.60 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D.2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.某学龄儿童采用0.05％NaF漱口水预防龋齿，其使用方法应为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A.每月含漱1次，每次10 mL，含漱1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B.每周含漱1次，每次10 mL，含漱1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C.每天含漱1次，每次10 mL，含漱1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D.隔周含漱1次，每次10 mL，含漱1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E.隔天含漱1次，每次10 mL，含漱1 min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w:t>
      </w:r>
      <w:r>
        <w:rPr>
          <w:rFonts w:hint="eastAsia" w:asciiTheme="minorEastAsia" w:hAnsiTheme="minorEastAsia" w:eastAsiaTheme="minorEastAsia" w:cstheme="minorEastAsia"/>
          <w:sz w:val="21"/>
          <w:szCs w:val="21"/>
        </w:rPr>
        <w:t>.巴斯刷牙法又称为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A.水平颤动法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B.旋转刷牙法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C.圆弧刷牙法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D.横刷法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E.竖刷法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w:t>
      </w:r>
      <w:r>
        <w:rPr>
          <w:rFonts w:hint="eastAsia" w:asciiTheme="minorEastAsia" w:hAnsiTheme="minorEastAsia" w:eastAsiaTheme="minorEastAsia" w:cstheme="minorEastAsia"/>
          <w:sz w:val="21"/>
          <w:szCs w:val="21"/>
        </w:rPr>
        <w:t>.预防口腔癌应定期检查的对象是40岁以上，吸烟量约为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A.每天20支以上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B.每天8支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C.每天12支</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D.每天16支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E.每天4支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8.正常情况下，替牙一般是什么时期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A.新生婴儿到6、7个月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B.6、7个月到三周岁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C.儿童6岁到12、13岁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D.12～13岁到18～21岁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E.在第二恒磨牙萌出前都是替牙阶段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w:t>
      </w:r>
      <w:r>
        <w:rPr>
          <w:rFonts w:hint="eastAsia" w:asciiTheme="minorEastAsia" w:hAnsiTheme="minorEastAsia" w:eastAsiaTheme="minorEastAsia" w:cstheme="minorEastAsia"/>
          <w:sz w:val="21"/>
          <w:szCs w:val="21"/>
        </w:rPr>
        <w:t>.由乳磨牙根尖周组织严重感染导致的继承恒前磨牙釉质发育不全,又称为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A.蕾状牙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B.桑葚牙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C.内陷牙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D.特纳牙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E.哈钦森牙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0.关于咬肌间隙感染，下列说法错误的是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A.感染多来自于下磨牙冠周炎和根尖周炎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B.临床表现为下颌角区红、肿、痛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C.常伴张口困难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D.脓肿形成后，常在下颌升支外侧触及波动感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E.切开引流时作位于下颌角下缘下1～2 cm的弧形切口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预测考点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正常成人每天的唾液分泌最为1 000 ～1 500 mL，其中的绝大多数来自三对大唾液腺。在无任何刺激的情况下，唾液的基础分泌约为每分钟0.5 mL。</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乳牙:出生后６~８ 个月开始陆续萌出，到两岁半左右全部萌出，共２０ 个。 自６~７ 岁至１２~１３ 岁，乳牙逐渐脱落，被恒牙所代替。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下颌牙列的纵牙合曲线：又名Spee曲线。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它是连接下颌切牙的切嵴、尖牙的牙尖以及前磨牙、磨牙的颊尖所形成的一条凹向上的曲线。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下颌牙列的纵牙合曲线特点：该曲线切牙段较平直，从尖牙起向后经前磨牙至第一磨牙远远颊尖处逐渐降低，然后第二、三磨牙颊尖又逐渐升高。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上颌牙列的纵牙合曲线:又称补偿曲线。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连接上颌中切牙的切缘、尖牙的牙尖以及前磨牙的颊尖以及磨牙的近远中颊尖所形成的连线。该连线从前向后是一条凸向下的曲线。上颌牙列的纵牙合曲线特点：该曲线由切牙至第一磨牙近中颊尖段较平，从第一磨牙近中颊尖至最后磨牙的远颊尖段则逐渐向上弯曲。</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舌的发育在胚胎第4周开始。胚胎第6周时，两个侧舌突迅速生长，并互相联合与奇结节联合发育成舌体。第2、3、4腮弓形成舌根。胎儿14周味蕾开始发育。</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成釉器来源于口腔外胚层，形成牙釉质，牙乳头形成牙本质和牙髓，牙囊形成牙骨质、牙周膜、部分牙槽骨。</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成釉器来源于口腔外胚层，形成牙釉质，牙乳头形成牙本质和牙髓，牙囊形成牙骨质、牙周膜、部分牙槽骨。</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釉细胞瘤：牙源性肿瘤中最常见的良性、上皮性肿瘤，多发于青壮年，下颌磨牙区和下颌升支部为最常见，肿瘤增大时可导致面部畸形、不对称，肿瘤区可出现牙齿松动、移位、或脱落，Ｘ线表现为单房或多房性透射阴影，边界清楚常呈切迹状内含成釉器样结构，常导致颌骨膨大，面部变形。</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龋病的定义 龋病是在以细菌为主的多种因素作用下，牙齿硬组织发生的慢性、进行性破坏的一种疾病。</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CN"/>
        </w:rPr>
        <w:t>慢性牙髓炎：自觉症状病程较长，有较长期的遇冷、热刺激痛或咀嚼食物痛史，有时有轻微的或定时的自发性钝痛，温度测验异常(敏感、迟钝或迟缓痛)，去除刺激后疼痛持续较长时间，（注意）患牙常有轻度咬合痛或叩痛，一般均能明确指出患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val="en-US" w:eastAsia="zh-CN"/>
        </w:rPr>
        <w:t>残髓炎也属于慢性牙髓炎。 发生在经牙髓治疗后的患牙，由于残留少量炎症根髓或多根牙遗漏未作处理的根管，因而命名为残髓炎。</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直接盖髓术:根尖孔未形成，因机械性或外伤性因素暴露的年轻恒牙，意外穿髓，穿髓孔直径不超过０.５ｍｍ者。</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lang w:val="en-US" w:eastAsia="zh-CN"/>
        </w:rPr>
        <w:t>牙隐裂好发于中老年患者的后牙咬合面，以上颌第一磨牙最常见。</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val="en-US" w:eastAsia="zh-CN"/>
        </w:rPr>
        <w:t>牙齿感觉过敏症又称过敏性牙本质或牙本质过敏，是牙齿在受到外界刺激，如温度 (冷、热)、化学物质(酸、甜)以及机械作用(摩擦或咬硬物)等所引起的酸、软、痛症状。其特 点为发作迅速、疼痛尖锐、时间短暂。 牙齿感觉过敏不是一种独立的疾病，而是各种牙体疾病共有的症状。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牙齿感觉过敏症又称过敏性牙本质或牙本质过敏，是牙齿在受到外界刺激，如温度 (冷、热)、化学物质(酸、甜)以及机械作用(摩擦或咬硬物)等所引起的酸、软、痛症状。其特 点为发作迅速、疼痛尖锐、时间短暂。 牙齿感觉过敏不是一种独立的疾病，而是各种牙体疾病共有的症状。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口腔念珠菌病分为假膜型、萎缩型、增殖型念珠菌病。最主要的病原菌是白色念珠菌，是一种常见的条件致病菌。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口腔单纯疱疹是由单纯疱疹病毒所致的皮肤黏膜病。特征：簇集性小水疱，有自限性和复发性。病因:是由单纯疱疹病毒Ⅰ型(HSV-Ⅰ)所致（高频考点，熟记）。HSV-2常引起腰以下皮肤及肛门生殖器的感染。</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口腔白斑病（OLK）是指口腔黏膜上的白色斑块或斑片，不能以临床和组织病理学的方法诊断为其他任何疾病者。世界卫生组织将白斑和红斑归人癌前病变。</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牙菌斑生物膜是口腔中不能被水冲去或漱掉的细菌性斑块，它由细菌和基质组成。</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常见的牙周致病菌（高频考点）【重点注意】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慢性龈炎：放线菌。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妊娠期龈炎：中间普氏菌。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坏死性溃疡性龈炎：梭形杆菌、中间普氏菌、螺旋体。</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慢性牙周炎：牙龈卟啉单胞菌、中间普氏菌、福赛坦氏菌（Tf）</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侵袭性牙周炎：伴放线聚集杆菌（伴放线放线杆菌Aa）。</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牙龈切除术是用手术方法切除增生肥大的牙龈组织或后牙某些部位的中等深度牙周袋，重建牙龈的生理外形及正常的龈沟。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完整的门诊病史均应包括: ①主诉；②病史；③体格检查；④实验室检查；⑤初步诊断；⑥处理意见；⑦医师完整签名等部分，可不必逐项列题。</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患者在术前应行理发、沐浴和备皮。与口腔相通的大手术，特别是需植骨、植皮者，应先做口腔洁治、龋齿充填和残根拔除，并用1∶5000高锰酸钾液或1∶1000洗必泰液含漱；取皮及取骨区应在术前2日彻底清洁、备皮，以酒精消毒后用无菌敷料包扎。（不能用碘伏，有颜色）</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下颌前磨牙、磨牙拔除术应同时使用下牙槽神经阻滞麻醉、舌神经阻滞麻醉和颊神经阻滞麻醉。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牙挺使用的注意事项：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①绝不能以邻牙作支点（引起邻牙松动）。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②除拔除阻生牙或颊侧需去骨者外，龈缘水平处的颊侧骨板一般不应作为支点。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③龈缘水平处的舌侧骨板，也不应作为支点。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④必须以手指保护，以防牙挺滑脱。</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⑤用力必须有控制，挺刃的用力方向必须正确。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 xml:space="preserve">进入上颌窦的牙根拔除法：常见于上颌第一磨牙腭根和上颌第二磨牙近中颊根。首先拍X线片确认，术中可用鼻腔鼓气法检查。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干槽症 主要症状：发生在术后2～3天后的持续性疼痛，可向耳颞部放射。一般镇痛药不能止痛；拔牙窝空虚（具有诊断意义）或有腐败血凝块，棉球蘸取有恶臭味。彻底清创（传导阻滞麻醉下进行），双氧水棉球反复擦拭至无臭味，再用生理盐水冲洗后填入碘纺纱条。愈合过程大约1-2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种植义齿修复后，第一年每隔3个月复查一次，以后每年至少复查2次。</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口腔颌面部感染常由金黄色葡萄球菌、溶血性链球菌、大肠杆菌等引起。目前口腔颌面部感染最多见的是需氧菌与厌氧菌的混合感染。</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由于主要感染菌种的不同，其脓液性状也有差异，如金黄色葡萄球菌为黄色黏稠脓液；链球菌一般为淡黄稀薄脓液，有时由于溶血而呈褐色；绿脓杆菌的典型脓液为翠绿色，稍黏稠，有酸臭味；混合细菌感染则为灰白或灰褐色脓液，有明显的腐败坏死臭味；结核杆菌为稀薄浑浊，暗灰色似米汤，夹杂有干酪样坏死的冷脓肿；放线菌感染脓液中夹杂有硫磺颗粒。</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化脓性颌骨骨髓炎多发生于青壮年，一般以16～30岁发生率最高。男性多于女性，约为2∶1。化脓性颌骨骨髓炎约占各类型颌骨骨髓炎的90%以上。主要发生于下颌骨。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Le Fort Ⅰ型骨折：又称上颌骨低位骨折或水平骨折。骨折线从梨状孔水平、牙槽突上方向两侧水平延伸至上颌翼突缝。</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Le FortⅡ型骨折：又称上颌骨中位骨折或锥形骨折。骨折线自鼻额缝向两侧横过鼻梁、内侧壁、眶底、颧上颌缝，再沿上颌骨侧壁至翼突。有时可波及筛窦达颅前凹，出现脑脊液鼻漏。（位于眶底）</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Le FortⅢ型骨折：又称上颌骨高位骨折或额弓上骨折。骨折线自鼻额缝向两侧横过鼻梁、眶部，经颧额缝向后达翼突，形成颅面分离，常使面中部凹陷、变长。此型骨折多伴有颅底骨折或颅脑损伤，出现耳、鼻出血或脑脊液漏。（位于眶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口腔颌面部良性肿瘤以牙源性及上皮源性肿瘤为多见，如成釉细胞瘤、多形性腺瘤等；其次为间叶组织肿瘤,如管型瘤、纤维瘤等。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口腔颌面部恶性肿瘤以上皮组织来源最多，尤其是鳞状上皮细胞癌最为常见，约占口腔颌面部恶性肿瘤80%（口腔恶性肿瘤约90%）以上；其次为腺源性上皮癌及未分化癌。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肉瘤发生于口腔颌面部者较少，主要为纤维肉瘤、骨肉瘤等。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修复治疗的原则：正确地恢复形态与功能；患牙预备时尽可能保存、保护牙体组织；修复体应保证组织健康；修复应符合抗力形与固位形的要求。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b w:val="0"/>
          <w:bCs/>
          <w:color w:val="auto"/>
          <w:sz w:val="21"/>
          <w:szCs w:val="21"/>
        </w:rPr>
        <w:t>嵌体的禁忌证：青少年的恒牙和儿童的乳牙；（牙合）面缺损范围小而且表浅；牙体缺损范围大，残留牙体组织抗力形差，固位不良者。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36</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全冠的禁忌证：青少年恒牙因尚未发育完全，牙髓腔较大者；牙体过小无法取得足够的固位形和抗力形者；严重深覆（牙合）、咬合紧，而无法预备出足够的空间者。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37</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铸造全冠颈部肩台通常非贵金属0.5~0.8 mm宽，贵金属是0.35~0.5 mm宽，烤瓷熔附金属全冠肩台宽度一般为1.0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38</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化学结合是金瓷结合中最主要、最关键的结合机制。烤瓷合金热膨胀系数必须略大于瓷的热膨胀系数。</w:t>
      </w:r>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rPr>
        <w:t>常用固定桥类型：双端固定桥、半固定桥、单端固定桥、复合固定桥。特殊的固定桥类型：种植固定桥、固定-可摘联合桥、粘结固定桥。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39</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可摘局部义齿的禁忌证：（1）缺牙间隙过小，义齿强度不够。（2）基牙呈锥形，固位形态过差，义齿不能获得足够的固位力。（3）精神病或生活不能自理的患者，患者易将义齿误吞。（4）口腔黏膜溃疡经久不愈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40</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一般在拔牙2～3个月后，可以开始制作正式的全口义齿。拔牙1个月后进行牙槽骨整形术。两侧上颌结节均较突出时，可以只选择结节较大的一侧作外科修整。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41</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全口义齿的固位原理：吸附力、表面张力、大气压力。附着力是指不同分子之间的吸引力，内聚力是指相同分子之间的吸引力。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42</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上前牙的排牙要求：（1）上前牙唇面至切牙乳突中点一般8～10 mm；（2）年轻人，上尖牙顶连线通过切牙乳突中点，而老年人上尖牙顶连线与切牙乳突后缘平齐；（3）上尖牙的唇面通常与腭皱的侧面相距10.5±1 mm；（4）上前牙切缘在唇下露出2 mm，年老者露的较少。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43</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1）圈形卡环适用于远中孤立的磨牙上。（2）回力卡环适用于后牙游离端缺失，基牙为前磨牙或尖牙，牙冠较短或为锥形牙，起应力中断的作用。（3）对半卡环适用于前后有缺隙、孤立的前磨牙或磨牙上。（4）联合卡环适用于相邻两牙之间有间隙者，防止食物嵌塞。</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44</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rPr>
        <w:t>种植体与相邻天然牙的最佳距离应在1.5 mm以上，2枚种植体轴心之间的距离应大于6~8 mm，（牙合）龈间隙6 mm以上。相邻种植体植人方向平行。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45.</w:t>
      </w:r>
      <w:r>
        <w:rPr>
          <w:rFonts w:hint="eastAsia" w:asciiTheme="minorEastAsia" w:hAnsiTheme="minorEastAsia" w:eastAsiaTheme="minorEastAsia" w:cstheme="minorEastAsia"/>
          <w:b w:val="0"/>
          <w:bCs/>
          <w:color w:val="auto"/>
          <w:sz w:val="21"/>
          <w:szCs w:val="21"/>
        </w:rPr>
        <w:t>功能性印模：在一定压力下取得的印模，也称选择性压力印模，适用于混合支持式义齿，用来弥补鞍基远端下沉过多的问题。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46.</w:t>
      </w:r>
      <w:r>
        <w:rPr>
          <w:rFonts w:hint="eastAsia" w:asciiTheme="minorEastAsia" w:hAnsiTheme="minorEastAsia" w:eastAsiaTheme="minorEastAsia" w:cstheme="minorEastAsia"/>
          <w:b w:val="0"/>
          <w:bCs/>
          <w:color w:val="auto"/>
          <w:sz w:val="21"/>
          <w:szCs w:val="21"/>
        </w:rPr>
        <w:t>口腔流行病学是用流行病学的原则、基本原理和方法，研究人群中口腔疾病的发生、发展和分布的规律及其影响因素，同时研究口腔健康及其影响因素，为探讨口腔疾病的病因和流行因素、制定口腔保健计划、选择疾病防治策略和评价服务效果打下良好基础。（不用于直接指导临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47.</w:t>
      </w:r>
      <w:r>
        <w:rPr>
          <w:rFonts w:hint="eastAsia" w:asciiTheme="minorEastAsia" w:hAnsiTheme="minorEastAsia" w:eastAsiaTheme="minorEastAsia" w:cstheme="minorEastAsia"/>
          <w:b w:val="0"/>
          <w:bCs/>
          <w:color w:val="auto"/>
          <w:sz w:val="21"/>
          <w:szCs w:val="21"/>
        </w:rPr>
        <w:t>样本含量大小会影响调查效果，含量小则抽样误差大，不易获得能说明问题的结果；含量太大则造成浪费。现况调查样本含量估计常用以下公式：（熟记）</w:t>
      </w:r>
      <w:r>
        <w:rPr>
          <w:rFonts w:hint="eastAsia" w:asciiTheme="minorEastAsia" w:hAnsiTheme="minorEastAsia" w:eastAsiaTheme="minorEastAsia" w:cstheme="minorEastAsia"/>
          <w:b w:val="0"/>
          <w:bCs/>
          <w:color w:val="auto"/>
          <w:sz w:val="21"/>
          <w:szCs w:val="21"/>
        </w:rPr>
        <w:br w:type="textWrapping"/>
      </w:r>
      <w:r>
        <w:rPr>
          <w:rFonts w:hint="eastAsia" w:asciiTheme="minorEastAsia" w:hAnsiTheme="minorEastAsia" w:eastAsiaTheme="minorEastAsia" w:cstheme="minorEastAsia"/>
          <w:b w:val="0"/>
          <w:bCs/>
          <w:color w:val="auto"/>
          <w:sz w:val="21"/>
          <w:szCs w:val="21"/>
        </w:rPr>
        <w:t xml:space="preserve"> N＝K×Q／P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N为受检人数，P为某病预期现患率。Q＝1-P，K值是根据研究项目的允许误差大小而确定：当允许误差为</w:t>
      </w:r>
    </w:p>
    <w:p>
      <w:pPr>
        <w:keepNext w:val="0"/>
        <w:keepLines w:val="0"/>
        <w:pageBreakBefore w:val="0"/>
        <w:kinsoku/>
        <w:wordWrap/>
        <w:overflowPunct/>
        <w:topLinePunct w:val="0"/>
        <w:autoSpaceDE/>
        <w:autoSpaceDN/>
        <w:bidi w:val="0"/>
        <w:adjustRightInd/>
        <w:snapToGrid/>
        <w:spacing w:line="360" w:lineRule="auto"/>
        <w:ind w:leftChars="20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10%（0.1P）时，K＝400</w:t>
      </w:r>
    </w:p>
    <w:p>
      <w:pPr>
        <w:keepNext w:val="0"/>
        <w:keepLines w:val="0"/>
        <w:pageBreakBefore w:val="0"/>
        <w:kinsoku/>
        <w:wordWrap/>
        <w:overflowPunct/>
        <w:topLinePunct w:val="0"/>
        <w:autoSpaceDE/>
        <w:autoSpaceDN/>
        <w:bidi w:val="0"/>
        <w:adjustRightInd/>
        <w:snapToGrid/>
        <w:spacing w:line="360" w:lineRule="auto"/>
        <w:ind w:leftChars="20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rPr>
        <w:t>15%（0.15P）时，K＝178</w:t>
      </w:r>
    </w:p>
    <w:p>
      <w:pPr>
        <w:keepNext w:val="0"/>
        <w:keepLines w:val="0"/>
        <w:pageBreakBefore w:val="0"/>
        <w:kinsoku/>
        <w:wordWrap/>
        <w:overflowPunct/>
        <w:topLinePunct w:val="0"/>
        <w:autoSpaceDE/>
        <w:autoSpaceDN/>
        <w:bidi w:val="0"/>
        <w:adjustRightInd/>
        <w:snapToGrid/>
        <w:spacing w:line="360" w:lineRule="auto"/>
        <w:ind w:leftChars="20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20%（0.2P）时，K＝100</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48</w:t>
      </w:r>
    </w:p>
    <w:tbl>
      <w:tblPr>
        <w:tblStyle w:val="6"/>
        <w:tblW w:w="7580" w:type="dxa"/>
        <w:jc w:val="center"/>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6"/>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blCellSpacing w:w="0" w:type="dxa"/>
          <w:jc w:val="center"/>
        </w:trPr>
        <w:tc>
          <w:tcPr>
            <w:tcW w:w="4066"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Kappa</w:t>
            </w:r>
            <w:r>
              <w:rPr>
                <w:rFonts w:hint="eastAsia" w:asciiTheme="minorEastAsia" w:hAnsiTheme="minorEastAsia" w:eastAsiaTheme="minorEastAsia" w:cstheme="minorEastAsia"/>
                <w:b/>
                <w:color w:val="FF0000"/>
                <w:sz w:val="21"/>
                <w:szCs w:val="21"/>
              </w:rPr>
              <w:t>值</w:t>
            </w:r>
          </w:p>
        </w:tc>
        <w:tc>
          <w:tcPr>
            <w:tcW w:w="3514"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可靠度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blCellSpacing w:w="0" w:type="dxa"/>
          <w:jc w:val="center"/>
        </w:trPr>
        <w:tc>
          <w:tcPr>
            <w:tcW w:w="4066"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0～0.40</w:t>
            </w:r>
          </w:p>
        </w:tc>
        <w:tc>
          <w:tcPr>
            <w:tcW w:w="3514"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blCellSpacing w:w="0" w:type="dxa"/>
          <w:jc w:val="center"/>
        </w:trPr>
        <w:tc>
          <w:tcPr>
            <w:tcW w:w="4066"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0.41～0.60</w:t>
            </w:r>
          </w:p>
        </w:tc>
        <w:tc>
          <w:tcPr>
            <w:tcW w:w="3514"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blCellSpacing w:w="0" w:type="dxa"/>
          <w:jc w:val="center"/>
        </w:trPr>
        <w:tc>
          <w:tcPr>
            <w:tcW w:w="4066"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0.61～0.80</w:t>
            </w:r>
          </w:p>
        </w:tc>
        <w:tc>
          <w:tcPr>
            <w:tcW w:w="3514"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blCellSpacing w:w="0" w:type="dxa"/>
          <w:jc w:val="center"/>
        </w:trPr>
        <w:tc>
          <w:tcPr>
            <w:tcW w:w="4066"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0.81～1.0</w:t>
            </w:r>
          </w:p>
        </w:tc>
        <w:tc>
          <w:tcPr>
            <w:tcW w:w="3514" w:type="dxa"/>
            <w:noWrap w:val="0"/>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完全可靠</w:t>
            </w:r>
          </w:p>
        </w:tc>
      </w:tr>
    </w:tbl>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49</w:t>
      </w:r>
    </w:p>
    <w:tbl>
      <w:tblPr>
        <w:tblStyle w:val="6"/>
        <w:tblW w:w="7400" w:type="dxa"/>
        <w:jc w:val="center"/>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77"/>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tblCellSpacing w:w="0" w:type="dxa"/>
          <w:jc w:val="center"/>
        </w:trPr>
        <w:tc>
          <w:tcPr>
            <w:tcW w:w="3077"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P&gt;0.05</w:t>
            </w:r>
          </w:p>
        </w:tc>
        <w:tc>
          <w:tcPr>
            <w:tcW w:w="4323"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统计学无显著意义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9" w:hRule="atLeast"/>
          <w:tblCellSpacing w:w="0" w:type="dxa"/>
          <w:jc w:val="center"/>
        </w:trPr>
        <w:tc>
          <w:tcPr>
            <w:tcW w:w="3077"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0.05≥P&gt;0.02</w:t>
            </w:r>
          </w:p>
        </w:tc>
        <w:tc>
          <w:tcPr>
            <w:tcW w:w="4323"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统计学有显著意义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atLeast"/>
          <w:tblCellSpacing w:w="0" w:type="dxa"/>
          <w:jc w:val="center"/>
        </w:trPr>
        <w:tc>
          <w:tcPr>
            <w:tcW w:w="3077"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P≤0.01</w:t>
            </w:r>
          </w:p>
        </w:tc>
        <w:tc>
          <w:tcPr>
            <w:tcW w:w="4323" w:type="dxa"/>
            <w:noWrap w:val="0"/>
            <w:tcMar>
              <w:top w:w="72" w:type="dxa"/>
              <w:left w:w="144" w:type="dxa"/>
              <w:bottom w:w="72" w:type="dxa"/>
              <w:right w:w="144"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统计学高度显著意义</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FF0000"/>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50</w:t>
      </w:r>
      <w:r>
        <w:rPr>
          <w:rFonts w:hint="eastAsia" w:asciiTheme="minorEastAsia" w:hAnsiTheme="minorEastAsia" w:eastAsiaTheme="minorEastAsia" w:cstheme="minorEastAsia"/>
          <w:b w:val="0"/>
          <w:bCs/>
          <w:color w:val="auto"/>
          <w:sz w:val="21"/>
          <w:szCs w:val="21"/>
        </w:rPr>
        <w:t>世界卫生组织规定龋病的患病水平，以12岁龋均作为衡量标准（熟记）。</w:t>
      </w:r>
    </w:p>
    <w:tbl>
      <w:tblPr>
        <w:tblStyle w:val="6"/>
        <w:tblpPr w:leftFromText="180" w:rightFromText="180" w:vertAnchor="text" w:horzAnchor="page" w:tblpXSpec="center" w:tblpY="185"/>
        <w:tblOverlap w:val="never"/>
        <w:tblW w:w="878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4"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龋均</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0.1～1.1</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很低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1.2～2.6</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2.7～4.4</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4.5～6.5</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blCellSpacing w:w="0" w:type="dxa"/>
          <w:jc w:val="center"/>
        </w:trPr>
        <w:tc>
          <w:tcPr>
            <w:tcW w:w="44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6.6以上</w:t>
            </w:r>
          </w:p>
        </w:tc>
        <w:tc>
          <w:tcPr>
            <w:tcW w:w="435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Chars="100"/>
              <w:textAlignment w:val="auto"/>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很高</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sectPr>
      <w:headerReference r:id="rId3" w:type="default"/>
      <w:pgSz w:w="11906" w:h="16838"/>
      <w:pgMar w:top="1134" w:right="1134" w:bottom="1134" w:left="1134"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黑体" w:hAnsi="黑体" w:eastAsia="黑体" w:cs="黑体"/>
        <w:b w:val="0"/>
        <w:bCs w:val="0"/>
      </w:rPr>
    </w:pPr>
    <w:r>
      <w:rPr>
        <w:rFonts w:hint="eastAsia" w:ascii="黑体" w:hAnsi="黑体" w:eastAsia="黑体" w:cs="黑体"/>
        <w:b w:val="0"/>
        <w:bCs w:val="0"/>
        <w:sz w:val="21"/>
        <w:szCs w:val="24"/>
      </w:rPr>
      <w:t>品质即生命 品牌即未来</w:t>
    </w:r>
    <w:r>
      <w:rPr>
        <w:rFonts w:hint="eastAsia" w:ascii="黑体" w:hAnsi="黑体" w:eastAsia="黑体" w:cs="黑体"/>
        <w:b w:val="0"/>
        <w:bCs w:val="0"/>
        <w:sz w:val="18"/>
      </w:rPr>
      <w:pict>
        <v:shape id="PowerPlusWaterMarkObject29041" o:spid="_x0000_s4097" o:spt="136" type="#_x0000_t136" style="position:absolute;left:0pt;height:100.8pt;width:486.4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高端事业部" style="font-family:华文新魏;font-size:36pt;v-same-letter-heights:f;v-text-align:center;"/>
        </v:shape>
      </w:pict>
    </w:r>
    <w:r>
      <w:rPr>
        <w:rFonts w:hint="eastAsia" w:ascii="黑体" w:hAnsi="黑体" w:eastAsia="黑体" w:cs="黑体"/>
        <w:b w:val="0"/>
        <w:bCs w:val="0"/>
      </w:rPr>
      <w:ptab w:relativeTo="margin" w:alignment="center" w:leader="none"/>
    </w:r>
    <w:r>
      <w:rPr>
        <w:rFonts w:hint="eastAsia" w:ascii="黑体" w:hAnsi="黑体" w:eastAsia="黑体" w:cs="黑体"/>
        <w:b w:val="0"/>
        <w:bCs w:val="0"/>
      </w:rPr>
      <w:ptab w:relativeTo="margin" w:alignment="right" w:leader="none"/>
    </w:r>
    <w:r>
      <w:rPr>
        <w:rFonts w:hint="eastAsia" w:ascii="黑体" w:hAnsi="黑体" w:eastAsia="黑体" w:cs="黑体"/>
        <w:b w:val="0"/>
        <w:bCs w:val="0"/>
      </w:rPr>
      <w:drawing>
        <wp:inline distT="0" distB="0" distL="0" distR="0">
          <wp:extent cx="1025525" cy="214630"/>
          <wp:effectExtent l="0" t="0" r="3175" b="13970"/>
          <wp:docPr id="29" name="图片 29" descr="C:\Users\ZHAN\Desktop\logo png格式\带注册商标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ZHAN\Desktop\logo png格式\带注册商标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6176" cy="2147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43D66"/>
    <w:multiLevelType w:val="singleLevel"/>
    <w:tmpl w:val="C9743D6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23CA3"/>
    <w:rsid w:val="0529758C"/>
    <w:rsid w:val="06E44C4D"/>
    <w:rsid w:val="09517C34"/>
    <w:rsid w:val="0E31632B"/>
    <w:rsid w:val="0EC42C76"/>
    <w:rsid w:val="14BD4D4E"/>
    <w:rsid w:val="21515D0C"/>
    <w:rsid w:val="2C5F42AB"/>
    <w:rsid w:val="2D843074"/>
    <w:rsid w:val="3024725A"/>
    <w:rsid w:val="32FF6D70"/>
    <w:rsid w:val="33E81FCC"/>
    <w:rsid w:val="34D2441F"/>
    <w:rsid w:val="36367E25"/>
    <w:rsid w:val="39E17F42"/>
    <w:rsid w:val="3BF92065"/>
    <w:rsid w:val="3ECE1D20"/>
    <w:rsid w:val="45325A8E"/>
    <w:rsid w:val="46201625"/>
    <w:rsid w:val="46593069"/>
    <w:rsid w:val="4C51188D"/>
    <w:rsid w:val="57A92F73"/>
    <w:rsid w:val="5DB0150D"/>
    <w:rsid w:val="620D11C4"/>
    <w:rsid w:val="6C8362FC"/>
    <w:rsid w:val="6D0D5D44"/>
    <w:rsid w:val="75A17705"/>
    <w:rsid w:val="7A9459FE"/>
    <w:rsid w:val="7AE6666D"/>
    <w:rsid w:val="7C323CA3"/>
    <w:rsid w:val="7C370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617</Words>
  <Characters>646</Characters>
  <Lines>0</Lines>
  <Paragraphs>0</Paragraphs>
  <TotalTime>0</TotalTime>
  <ScaleCrop>false</ScaleCrop>
  <LinksUpToDate>false</LinksUpToDate>
  <CharactersWithSpaces>654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2019-01-04T10:32:00Z</dcterms:created>
  <dc:creator>赵静～Claire</dc:creator>
  <cp:lastModifiedBy>闰土</cp:lastModifiedBy>
  <dcterms:modified xsi:type="dcterms:W3CDTF">2019-08-22T03:16:09Z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